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28"/>
          <w:szCs w:val="28"/>
        </w:rPr>
      </w:pPr>
      <w:bookmarkStart w:colFirst="0" w:colLast="0" w:name="_heading=h.30j0zll" w:id="0"/>
      <w:bookmarkEnd w:id="0"/>
      <w:r w:rsidDel="00000000" w:rsidR="00000000" w:rsidRPr="00000000">
        <w:rPr>
          <w:rFonts w:ascii="Calibri" w:cs="Calibri" w:eastAsia="Calibri" w:hAnsi="Calibri"/>
          <w:b w:val="1"/>
          <w:sz w:val="28"/>
          <w:szCs w:val="28"/>
          <w:rtl w:val="0"/>
        </w:rPr>
        <w:t xml:space="preserve">STATE OF NEW MEXICO</w:t>
      </w:r>
    </w:p>
    <w:p w:rsidR="00000000" w:rsidDel="00000000" w:rsidP="00000000" w:rsidRDefault="00000000" w:rsidRPr="00000000" w14:paraId="00000002">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(COURT NAME)</w:t>
      </w:r>
    </w:p>
    <w:p w:rsidR="00000000" w:rsidDel="00000000" w:rsidP="00000000" w:rsidRDefault="00000000" w:rsidRPr="00000000" w14:paraId="00000003">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MEMORANDUM OF UNDERSTANDING</w:t>
      </w:r>
    </w:p>
    <w:p w:rsidR="00000000" w:rsidDel="00000000" w:rsidP="00000000" w:rsidRDefault="00000000" w:rsidRPr="00000000" w14:paraId="00000004">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WITH</w:t>
      </w:r>
    </w:p>
    <w:p w:rsidR="00000000" w:rsidDel="00000000" w:rsidP="00000000" w:rsidRDefault="00000000" w:rsidRPr="00000000" w14:paraId="00000005">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(AGENCY NAME)</w:t>
      </w:r>
    </w:p>
    <w:p w:rsidR="00000000" w:rsidDel="00000000" w:rsidP="00000000" w:rsidRDefault="00000000" w:rsidRPr="00000000" w14:paraId="00000006">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 THE</w:t>
      </w:r>
    </w:p>
    <w:p w:rsidR="00000000" w:rsidDel="00000000" w:rsidP="00000000" w:rsidRDefault="00000000" w:rsidRPr="00000000" w14:paraId="00000007">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(PROGRAM NAME)</w:t>
      </w:r>
    </w:p>
    <w:p w:rsidR="00000000" w:rsidDel="00000000" w:rsidP="00000000" w:rsidRDefault="00000000" w:rsidRPr="00000000" w14:paraId="00000008">
      <w:pPr>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THIS MEMORANDUM OF UNDERSTANDING</w:t>
      </w:r>
      <w:r w:rsidDel="00000000" w:rsidR="00000000" w:rsidRPr="00000000">
        <w:rPr>
          <w:rFonts w:ascii="Calibri" w:cs="Calibri" w:eastAsia="Calibri" w:hAnsi="Calibri"/>
          <w:sz w:val="24"/>
          <w:szCs w:val="24"/>
          <w:rtl w:val="0"/>
        </w:rPr>
        <w:t xml:space="preserve"> (“MOU”) is made and entered into by and between the </w:t>
      </w:r>
      <w:r w:rsidDel="00000000" w:rsidR="00000000" w:rsidRPr="00000000">
        <w:rPr>
          <w:rFonts w:ascii="Calibri" w:cs="Calibri" w:eastAsia="Calibri" w:hAnsi="Calibri"/>
          <w:b w:val="1"/>
          <w:sz w:val="24"/>
          <w:szCs w:val="24"/>
          <w:rtl w:val="0"/>
        </w:rPr>
        <w:t xml:space="preserve">_____________</w:t>
      </w:r>
      <w:r w:rsidDel="00000000" w:rsidR="00000000" w:rsidRPr="00000000">
        <w:rPr>
          <w:rFonts w:ascii="Calibri" w:cs="Calibri" w:eastAsia="Calibri" w:hAnsi="Calibri"/>
          <w:sz w:val="24"/>
          <w:szCs w:val="24"/>
          <w:rtl w:val="0"/>
        </w:rPr>
        <w:t xml:space="preserve"> (“Court”) and the </w:t>
      </w:r>
      <w:r w:rsidDel="00000000" w:rsidR="00000000" w:rsidRPr="00000000">
        <w:rPr>
          <w:rFonts w:ascii="Calibri" w:cs="Calibri" w:eastAsia="Calibri" w:hAnsi="Calibri"/>
          <w:b w:val="1"/>
          <w:sz w:val="24"/>
          <w:szCs w:val="24"/>
          <w:rtl w:val="0"/>
        </w:rPr>
        <w:t xml:space="preserve">_____________</w:t>
      </w:r>
      <w:r w:rsidDel="00000000" w:rsidR="00000000" w:rsidRPr="00000000">
        <w:rPr>
          <w:rFonts w:ascii="Calibri" w:cs="Calibri" w:eastAsia="Calibri" w:hAnsi="Calibri"/>
          <w:sz w:val="24"/>
          <w:szCs w:val="24"/>
          <w:rtl w:val="0"/>
        </w:rPr>
        <w:t xml:space="preserve">(agency name).</w:t>
      </w:r>
    </w:p>
    <w:p w:rsidR="00000000" w:rsidDel="00000000" w:rsidP="00000000" w:rsidRDefault="00000000" w:rsidRPr="00000000" w14:paraId="0000000A">
      <w:pPr>
        <w:spacing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purpose of this MOU is to establish the expectations of the parties working with the Court’s ____________ (program name), which is a treatment court focusing on individualized treatment and support of participants with substance use and/or mental health disorders;</w:t>
      </w:r>
    </w:p>
    <w:p w:rsidR="00000000" w:rsidDel="00000000" w:rsidP="00000000" w:rsidRDefault="00000000" w:rsidRPr="00000000" w14:paraId="0000000B">
      <w:pPr>
        <w:spacing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for the participant to be successful in their journey of recovery, there must be cooperation with a network of stakeholders to facilitate and achieve the mission and goals of the ___________ (program name); </w:t>
      </w:r>
    </w:p>
    <w:p w:rsidR="00000000" w:rsidDel="00000000" w:rsidP="00000000" w:rsidRDefault="00000000" w:rsidRPr="00000000" w14:paraId="0000000C">
      <w:pPr>
        <w:spacing w:after="200"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____________ (program name) has a multi-disciplinary team consisting of, at minimum, the presiding Program Judge, Support Officer(s), a representative from the District Attorney’s Office, a representative from the Office of the Public Defender, a Contracted Treatment Provider, a Law Enforcement Officer, and a Program Coordinator;</w:t>
      </w:r>
    </w:p>
    <w:p w:rsidR="00000000" w:rsidDel="00000000" w:rsidP="00000000" w:rsidRDefault="00000000" w:rsidRPr="00000000" w14:paraId="0000000D">
      <w:pPr>
        <w:spacing w:after="200"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New Mexico Supreme Court established Treatment Court Standards (STANDARDS) with an expectation that every treatment court maintain alignment with the STANDARDS; </w:t>
      </w:r>
    </w:p>
    <w:p w:rsidR="00000000" w:rsidDel="00000000" w:rsidP="00000000" w:rsidRDefault="00000000" w:rsidRPr="00000000" w14:paraId="0000000E">
      <w:pPr>
        <w:spacing w:after="200" w:before="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STANDARDS require that all participating agencies must sign an MOU annually that specifies interagency information-sharing, expectations, and procedures for ensuring the continuity of care and that all legal policies are followed, including confidentiality and other standards necessary to the operation of each treatment court; and </w:t>
      </w:r>
    </w:p>
    <w:p w:rsidR="00000000" w:rsidDel="00000000" w:rsidP="00000000" w:rsidRDefault="00000000" w:rsidRPr="00000000" w14:paraId="0000000F">
      <w:pPr>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Fonts w:ascii="Calibri" w:cs="Calibri" w:eastAsia="Calibri" w:hAnsi="Calibri"/>
          <w:sz w:val="24"/>
          <w:szCs w:val="24"/>
          <w:rtl w:val="0"/>
        </w:rPr>
        <w:t xml:space="preserve">, the STANDARDS further indicate that the Agency-level MOU specify the partner agencies’ commitment to the treatment court philosophy and practices, ongoing system improvement, and collaboration. </w:t>
      </w:r>
      <w:r w:rsidDel="00000000" w:rsidR="00000000" w:rsidRPr="00000000">
        <w:rPr>
          <w:rtl w:val="0"/>
        </w:rPr>
      </w:r>
    </w:p>
    <w:p w:rsidR="00000000" w:rsidDel="00000000" w:rsidP="00000000" w:rsidRDefault="00000000" w:rsidRPr="00000000" w14:paraId="00000010">
      <w:pPr>
        <w:spacing w:after="20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EXPECTATIONS OF THE PARTIES</w:t>
      </w:r>
    </w:p>
    <w:p w:rsidR="00000000" w:rsidDel="00000000" w:rsidP="00000000" w:rsidRDefault="00000000" w:rsidRPr="00000000" w14:paraId="00000011">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commit to the treatment court philosophy and practices, ongoing system improvement, collaboration with the team, and cooperation with efforts to establish treatment courts that meet the minimum standards of the judicial branch in order to achieve improvement in public safety through effective treatment, monitoring, and support of Participant;  </w:t>
      </w:r>
    </w:p>
    <w:p w:rsidR="00000000" w:rsidDel="00000000" w:rsidP="00000000" w:rsidRDefault="00000000" w:rsidRPr="00000000" w14:paraId="00000012">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agree, in order to advance the goals of the treatment court program, they will coordinate in good faith with all other members of the team in a non-adversarial manner. As part of that coordination, the Parties will share information as needed by the situation and as authorized by law in order to support the Participant’s successful participation and treatment in the program. </w:t>
      </w:r>
    </w:p>
    <w:p w:rsidR="00000000" w:rsidDel="00000000" w:rsidP="00000000" w:rsidRDefault="00000000" w:rsidRPr="00000000" w14:paraId="00000013">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will support the _____________(program name) by making appropriate adjustments to internal policies, practices, and procedures to ensure the successful day-to-day operation of the treatment court, and will support their designated representative’s service as an active member of the multidisciplinary team;</w:t>
      </w:r>
    </w:p>
    <w:p w:rsidR="00000000" w:rsidDel="00000000" w:rsidP="00000000" w:rsidRDefault="00000000" w:rsidRPr="00000000" w14:paraId="00000014">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commit to utilizing a family-centered approach, that is, attempting to meet the needs of the family unit through a comprehensive array of clinical treatment and related support services;</w:t>
      </w:r>
    </w:p>
    <w:p w:rsidR="00000000" w:rsidDel="00000000" w:rsidP="00000000" w:rsidRDefault="00000000" w:rsidRPr="00000000" w14:paraId="00000015">
      <w:pPr>
        <w:numPr>
          <w:ilvl w:val="0"/>
          <w:numId w:val="1"/>
        </w:numPr>
        <w:ind w:left="36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The Parties agree to deliberately engage and work collaboratively with parents/guardians/caregivers throughout the court process (court hearings, supervision/discipline of child, and treatment programs), including addressing the specific barriers to their full engagement; </w:t>
      </w:r>
      <w:r w:rsidDel="00000000" w:rsidR="00000000" w:rsidRPr="00000000">
        <w:rPr>
          <w:rFonts w:ascii="Calibri" w:cs="Calibri" w:eastAsia="Calibri" w:hAnsi="Calibri"/>
          <w:b w:val="1"/>
          <w:i w:val="1"/>
          <w:sz w:val="24"/>
          <w:szCs w:val="24"/>
          <w:rtl w:val="0"/>
        </w:rPr>
        <w:t xml:space="preserve">(specific to Juvenile Treatment courts only)</w:t>
      </w:r>
      <w:r w:rsidDel="00000000" w:rsidR="00000000" w:rsidRPr="00000000">
        <w:rPr>
          <w:rtl w:val="0"/>
        </w:rPr>
      </w:r>
    </w:p>
    <w:p w:rsidR="00000000" w:rsidDel="00000000" w:rsidP="00000000" w:rsidRDefault="00000000" w:rsidRPr="00000000" w14:paraId="00000016">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agree that drug test results shall not be used as evidence of a new crime or as the sole basis for probation violations; </w:t>
      </w:r>
    </w:p>
    <w:p w:rsidR="00000000" w:rsidDel="00000000" w:rsidP="00000000" w:rsidRDefault="00000000" w:rsidRPr="00000000" w14:paraId="00000017">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will cooperate with the collection and maintenance of statistical and evaluation information based on the STANDARDS adopted by the Supreme Court;</w:t>
      </w:r>
    </w:p>
    <w:p w:rsidR="00000000" w:rsidDel="00000000" w:rsidP="00000000" w:rsidRDefault="00000000" w:rsidRPr="00000000" w14:paraId="00000018">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agree to have agency-wide communication and cooperation among dedicated treatment court personnel with the sponsoring court and participating agencies.</w:t>
      </w:r>
    </w:p>
    <w:p w:rsidR="00000000" w:rsidDel="00000000" w:rsidP="00000000" w:rsidRDefault="00000000" w:rsidRPr="00000000" w14:paraId="00000019">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acknowledge and agree to support the Code of Conduct for Treatment Court Team Members outlined in Appendix I of the NM Treatment Court Standards</w:t>
      </w:r>
    </w:p>
    <w:p w:rsidR="00000000" w:rsidDel="00000000" w:rsidP="00000000" w:rsidRDefault="00000000" w:rsidRPr="00000000" w14:paraId="0000001A">
      <w:pPr>
        <w:spacing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expectations of the Court are to:</w:t>
      </w:r>
    </w:p>
    <w:p w:rsidR="00000000" w:rsidDel="00000000" w:rsidP="00000000" w:rsidRDefault="00000000" w:rsidRPr="00000000" w14:paraId="0000001B">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Designate and train a Program Coordinator  to oversee the _____________(program name);</w:t>
      </w:r>
    </w:p>
    <w:p w:rsidR="00000000" w:rsidDel="00000000" w:rsidP="00000000" w:rsidRDefault="00000000" w:rsidRPr="00000000" w14:paraId="0000001C">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oversight of the day to day operations of the _____________(program name);</w:t>
      </w:r>
    </w:p>
    <w:p w:rsidR="00000000" w:rsidDel="00000000" w:rsidP="00000000" w:rsidRDefault="00000000" w:rsidRPr="00000000" w14:paraId="0000001D">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 the _____________’s (program name) compliance with short and long-term goals and objectives;</w:t>
      </w:r>
    </w:p>
    <w:p w:rsidR="00000000" w:rsidDel="00000000" w:rsidP="00000000" w:rsidRDefault="00000000" w:rsidRPr="00000000" w14:paraId="0000001E">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and prepare Court data for essential reporting;</w:t>
      </w:r>
    </w:p>
    <w:p w:rsidR="00000000" w:rsidDel="00000000" w:rsidP="00000000" w:rsidRDefault="00000000" w:rsidRPr="00000000" w14:paraId="0000001F">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 compliance of independent contractors providing treatment and other services for participants under contract with the Court; </w:t>
      </w:r>
    </w:p>
    <w:p w:rsidR="00000000" w:rsidDel="00000000" w:rsidP="00000000" w:rsidRDefault="00000000" w:rsidRPr="00000000" w14:paraId="00000020">
      <w:pPr>
        <w:numPr>
          <w:ilvl w:val="0"/>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assigned staff engages in onboarding and ongoing cross-training and interdisciplinary education; and</w:t>
      </w:r>
    </w:p>
    <w:p w:rsidR="00000000" w:rsidDel="00000000" w:rsidP="00000000" w:rsidRDefault="00000000" w:rsidRPr="00000000" w14:paraId="00000021">
      <w:pPr>
        <w:numPr>
          <w:ilvl w:val="0"/>
          <w:numId w:val="5"/>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Hire, train, and supervise Support Officer(s) </w:t>
      </w:r>
      <w:r w:rsidDel="00000000" w:rsidR="00000000" w:rsidRPr="00000000">
        <w:rPr>
          <w:rFonts w:ascii="Calibri" w:cs="Calibri" w:eastAsia="Calibri" w:hAnsi="Calibri"/>
          <w:i w:val="1"/>
          <w:sz w:val="24"/>
          <w:szCs w:val="24"/>
          <w:rtl w:val="0"/>
        </w:rPr>
        <w:t xml:space="preserve">(if applicable)</w:t>
      </w: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 expectations of the ______________(agency name) are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3">
      <w:pPr>
        <w:numPr>
          <w:ilvl w:val="0"/>
          <w:numId w:val="4"/>
        </w:numPr>
        <w:ind w:left="144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Designate a staff member(s) who shall be present at all treatment court sessions (including multidisciplinary team staffing and the treatment court docket) to report on participants’ progress, compliance, etc., and ensure the assigned individual has signed the </w:t>
      </w:r>
      <w:r w:rsidDel="00000000" w:rsidR="00000000" w:rsidRPr="00000000">
        <w:rPr>
          <w:rFonts w:ascii="Calibri" w:cs="Calibri" w:eastAsia="Calibri" w:hAnsi="Calibri"/>
          <w:i w:val="1"/>
          <w:sz w:val="24"/>
          <w:szCs w:val="24"/>
          <w:rtl w:val="0"/>
        </w:rPr>
        <w:t xml:space="preserve">Team Member MOU</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4">
      <w:pPr>
        <w:numPr>
          <w:ilvl w:val="0"/>
          <w:numId w:val="4"/>
        </w:numPr>
        <w:ind w:left="144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Assign a full or part-time ____________ (designated team member role) to the _____________(program name) for a minimum of 2 years when feasible, to ensure stability and continuity of day-to-day operations and to strengthen collaborative relationships between the key professionals;</w:t>
      </w:r>
      <w:r w:rsidDel="00000000" w:rsidR="00000000" w:rsidRPr="00000000">
        <w:rPr>
          <w:rtl w:val="0"/>
        </w:rPr>
      </w:r>
    </w:p>
    <w:p w:rsidR="00000000" w:rsidDel="00000000" w:rsidP="00000000" w:rsidRDefault="00000000" w:rsidRPr="00000000" w14:paraId="00000025">
      <w:pPr>
        <w:numPr>
          <w:ilvl w:val="0"/>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funding is available, assign staff, and alternates, to be designated to the treatment court based on personal interest in the treatment court, interpersonal skills, motivation, and professional abilities, within their job description;</w:t>
      </w:r>
    </w:p>
    <w:p w:rsidR="00000000" w:rsidDel="00000000" w:rsidP="00000000" w:rsidRDefault="00000000" w:rsidRPr="00000000" w14:paraId="00000026">
      <w:pPr>
        <w:numPr>
          <w:ilvl w:val="0"/>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assigned team member(s) to engage in onboarding and ongoing cross-training and interdisciplinary education;</w:t>
      </w:r>
    </w:p>
    <w:p w:rsidR="00000000" w:rsidDel="00000000" w:rsidP="00000000" w:rsidRDefault="00000000" w:rsidRPr="00000000" w14:paraId="00000027">
      <w:pPr>
        <w:numPr>
          <w:ilvl w:val="0"/>
          <w:numId w:val="4"/>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the quality engagement initiatives, such as certification and peer review, that measure and promote alignment with the STANDARDS.</w:t>
      </w:r>
    </w:p>
    <w:p w:rsidR="00000000" w:rsidDel="00000000" w:rsidP="00000000" w:rsidRDefault="00000000" w:rsidRPr="00000000" w14:paraId="0000002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CONFIDENTIALITY</w:t>
      </w:r>
    </w:p>
    <w:p w:rsidR="00000000" w:rsidDel="00000000" w:rsidP="00000000" w:rsidRDefault="00000000" w:rsidRPr="00000000" w14:paraId="00000029">
      <w:pPr>
        <w:numPr>
          <w:ilvl w:val="0"/>
          <w:numId w:val="2"/>
        </w:numPr>
        <w:spacing w:before="20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Compliance with Applicable Laws: Release of Information:</w:t>
      </w:r>
      <w:r w:rsidDel="00000000" w:rsidR="00000000" w:rsidRPr="00000000">
        <w:rPr>
          <w:rFonts w:ascii="Calibri" w:cs="Calibri" w:eastAsia="Calibri" w:hAnsi="Calibri"/>
          <w:sz w:val="24"/>
          <w:szCs w:val="24"/>
          <w:rtl w:val="0"/>
        </w:rPr>
        <w:t xml:space="preserve">  The parties to this Agreement agree to comply with all applicable federal, state, and local laws, rules, and regulations governing the confidentiality and privacy of individually identifiable health information, which may include but is not limited to the Health Insurance Portability and Accountability Act of 1996 (HIPAA), the Privacy Rule, 45 CFR 160, and 164, and 42 CFR Part 2 on the Confidentiality of Substance Use Disorder Patient Records. The parties further understand and agree that any communication with outside medical and mental health providers, including the contracted treatment provider or otherwise shall be subject to any Release of Information (“ROI”) that a Participant has duly authorized and signed. Any limitations placed on redisclosure pursuant to an ROI will be strictly adhered to.</w:t>
      </w:r>
    </w:p>
    <w:p w:rsidR="00000000" w:rsidDel="00000000" w:rsidP="00000000" w:rsidRDefault="00000000" w:rsidRPr="00000000" w14:paraId="0000002A">
      <w:pPr>
        <w:numPr>
          <w:ilvl w:val="0"/>
          <w:numId w:val="2"/>
        </w:numPr>
        <w:ind w:left="360" w:right="1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are responsible for creating policies and procedures to ensure the confidentiality of information obtained through participation in the program. They are also responsible for ensuring that all employees, staff, or other persons involved with the program are trained on the appropriate measures to ensure confidentiality.</w:t>
      </w:r>
    </w:p>
    <w:p w:rsidR="00000000" w:rsidDel="00000000" w:rsidP="00000000" w:rsidRDefault="00000000" w:rsidRPr="00000000" w14:paraId="0000002B">
      <w:pPr>
        <w:numPr>
          <w:ilvl w:val="0"/>
          <w:numId w:val="2"/>
        </w:numPr>
        <w:ind w:left="360" w:right="1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Parties shall take reasonable steps to ensure that all confidential information that is stored or accessed via digital means is protected from unauthorized access.</w:t>
      </w:r>
    </w:p>
    <w:p w:rsidR="00000000" w:rsidDel="00000000" w:rsidP="00000000" w:rsidRDefault="00000000" w:rsidRPr="00000000" w14:paraId="0000002C">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information shared by and among the multidisciplinary team, stored in the approved statewide information management system (DIMS), prepared by the Program Coordinator, Probation/Surveillance Officer(s), or other designated staff member and distributed to the Multidisciplinary Team, is confidential. All such program documentation and compliance information shall be kept confidential between team members and shall not be redisclosed outside the treatment court team, including to other Agency members, without appropriate releases or court orders in place.</w:t>
      </w:r>
    </w:p>
    <w:p w:rsidR="00000000" w:rsidDel="00000000" w:rsidP="00000000" w:rsidRDefault="00000000" w:rsidRPr="00000000" w14:paraId="0000002D">
      <w:pPr>
        <w:spacing w:before="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MISCELLANEOUS</w:t>
      </w:r>
    </w:p>
    <w:p w:rsidR="00000000" w:rsidDel="00000000" w:rsidP="00000000" w:rsidRDefault="00000000" w:rsidRPr="00000000" w14:paraId="0000002E">
      <w:pPr>
        <w:numPr>
          <w:ilvl w:val="0"/>
          <w:numId w:val="3"/>
        </w:numPr>
        <w:spacing w:before="20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Term; Termination:</w:t>
      </w:r>
      <w:r w:rsidDel="00000000" w:rsidR="00000000" w:rsidRPr="00000000">
        <w:rPr>
          <w:rFonts w:ascii="Calibri" w:cs="Calibri" w:eastAsia="Calibri" w:hAnsi="Calibri"/>
          <w:sz w:val="24"/>
          <w:szCs w:val="24"/>
          <w:rtl w:val="0"/>
        </w:rPr>
        <w:t xml:space="preserve">  This MOU shall terminate one year as of the date of the last signature below, however, the Parties may mutually agree in writing to the termination of this MOU. The Court may terminate this MOU at any time and further Provided that any Party, in its sole discretion, can withdraw from participation in this MOU upon thirty (30) days written notice to the Court. The termination of any contract between the Court and any Contracted Treatment Provider or any other Party to this MOU for services for Participants the ______________(program name) shall constitute a termination of that Provider’s or Party’s participation in this MOU. The MOU will be reviewed and signed annually by all parties. </w:t>
      </w:r>
    </w:p>
    <w:p w:rsidR="00000000" w:rsidDel="00000000" w:rsidP="00000000" w:rsidRDefault="00000000" w:rsidRPr="00000000" w14:paraId="0000002F">
      <w:pPr>
        <w:numPr>
          <w:ilvl w:val="0"/>
          <w:numId w:val="3"/>
        </w:numPr>
        <w:spacing w:before="20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Amendment:</w:t>
      </w:r>
      <w:r w:rsidDel="00000000" w:rsidR="00000000" w:rsidRPr="00000000">
        <w:rPr>
          <w:rFonts w:ascii="Calibri" w:cs="Calibri" w:eastAsia="Calibri" w:hAnsi="Calibri"/>
          <w:sz w:val="24"/>
          <w:szCs w:val="24"/>
          <w:rtl w:val="0"/>
        </w:rPr>
        <w:t xml:space="preserve"> This MOU shall not be altered, changed, or amended except by written mutual agreement of the Parties hereto and AOC.</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 WITNESS WHEREOF,</w:t>
      </w:r>
      <w:r w:rsidDel="00000000" w:rsidR="00000000" w:rsidRPr="00000000">
        <w:rPr>
          <w:rFonts w:ascii="Calibri" w:cs="Calibri" w:eastAsia="Calibri" w:hAnsi="Calibri"/>
          <w:sz w:val="24"/>
          <w:szCs w:val="24"/>
          <w:rtl w:val="0"/>
        </w:rPr>
        <w:t xml:space="preserve"> the Parties have executed this MOU.</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Chief Judge [Executing (final) Signature]</w:t>
        <w:tab/>
        <w:tab/>
        <w:t xml:space="preserve">Date</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Presiding Treatment Court Judge</w:t>
        <w:tab/>
        <w:tab/>
        <w:tab/>
        <w:t xml:space="preserve">Date</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Court Executive Officer</w:t>
        <w:tab/>
        <w:tab/>
        <w:tab/>
        <w:tab/>
        <w:t xml:space="preserve">Date</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(Treatment Agency) CEO/Exec. Dir.</w:t>
        <w:tab/>
        <w:tab/>
        <w:tab/>
        <w:t xml:space="preserve">Date</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District Attorney</w:t>
        <w:tab/>
        <w:tab/>
        <w:tab/>
        <w:tab/>
        <w:tab/>
        <w:t xml:space="preserve">Date</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District Defender</w:t>
        <w:tab/>
        <w:tab/>
        <w:tab/>
        <w:tab/>
        <w:tab/>
        <w:t xml:space="preserve">Date</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u w:val="single"/>
          <w:rtl w:val="0"/>
        </w:rPr>
        <w:tab/>
        <w:tab/>
        <w:tab/>
        <w:tab/>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(Printed Name), Chief of Police</w:t>
        <w:tab/>
        <w:tab/>
        <w:tab/>
        <w:tab/>
        <w:tab/>
        <w:t xml:space="preserve">Date</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after="20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[Note: Signatures must include the Chief Judge, Presiding Program Judge, and the Agency Head (e.g., CEO, District Attorney, Chief Public Defender, Chief of Police, Sheriff, etc.) All other signature lines can be removed]</w:t>
      </w:r>
      <w:r w:rsidDel="00000000" w:rsidR="00000000" w:rsidRPr="00000000">
        <w:br w:type="page"/>
      </w:r>
      <w:r w:rsidDel="00000000" w:rsidR="00000000" w:rsidRPr="00000000">
        <w:rPr>
          <w:rtl w:val="0"/>
        </w:rPr>
      </w:r>
    </w:p>
    <w:p w:rsidR="00000000" w:rsidDel="00000000" w:rsidP="00000000" w:rsidRDefault="00000000" w:rsidRPr="00000000" w14:paraId="0000004B">
      <w:pPr>
        <w:spacing w:after="20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ADDENDUM A: DESCRIPTION OF TEAM MEMBER ROLES</w:t>
      </w:r>
    </w:p>
    <w:p w:rsidR="00000000" w:rsidDel="00000000" w:rsidP="00000000" w:rsidRDefault="00000000" w:rsidRPr="00000000" w14:paraId="0000004C">
      <w:pPr>
        <w:numPr>
          <w:ilvl w:val="0"/>
          <w:numId w:val="6"/>
        </w:numPr>
        <w:ind w:left="360" w:hanging="360"/>
        <w:rPr>
          <w:rFonts w:ascii="Calibri" w:cs="Calibri" w:eastAsia="Calibri" w:hAnsi="Calibri"/>
          <w:sz w:val="24"/>
          <w:szCs w:val="24"/>
        </w:rPr>
      </w:pPr>
      <w:bookmarkStart w:colFirst="0" w:colLast="0" w:name="_heading=h.gjdgxs" w:id="1"/>
      <w:bookmarkEnd w:id="1"/>
      <w:r w:rsidDel="00000000" w:rsidR="00000000" w:rsidRPr="00000000">
        <w:rPr>
          <w:rFonts w:ascii="Calibri" w:cs="Calibri" w:eastAsia="Calibri" w:hAnsi="Calibri"/>
          <w:i w:val="1"/>
          <w:sz w:val="24"/>
          <w:szCs w:val="24"/>
          <w:rtl w:val="0"/>
        </w:rPr>
        <w:t xml:space="preserve">Presiding Judge:</w:t>
      </w:r>
      <w:r w:rsidDel="00000000" w:rsidR="00000000" w:rsidRPr="00000000">
        <w:rPr>
          <w:rFonts w:ascii="Calibri" w:cs="Calibri" w:eastAsia="Calibri" w:hAnsi="Calibri"/>
          <w:sz w:val="24"/>
          <w:szCs w:val="24"/>
          <w:rtl w:val="0"/>
        </w:rPr>
        <w:t xml:space="preserve"> The judge is the leader of the team and effectively guides the team to develop all the protocols and procedures of the program. The judge ensures the participant’s due process and other legal &amp; constitutional rights are protected. The judge is knowledgeable about the policy and procedures of the program and participant cases, knows participants by name, encourages them to succeed, and treats them fairly and with respect. The judge strives to engage each participant in meaningful interaction for a minimum of three (3) minutes and finds ways to acknowledge progress even when having to hold the participant accountable. The judge will make the final decision on behavior responses and program-related changes based on input from the team. The judge serves as a program advocate by utilizing his/her community leadership role to create interest and develop support for the program. The judge should serve for a minimum of two years.</w:t>
      </w:r>
    </w:p>
    <w:p w:rsidR="00000000" w:rsidDel="00000000" w:rsidP="00000000" w:rsidRDefault="00000000" w:rsidRPr="00000000" w14:paraId="0000004D">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Program Coordinator </w:t>
      </w:r>
      <w:r w:rsidDel="00000000" w:rsidR="00000000" w:rsidRPr="00000000">
        <w:rPr>
          <w:rFonts w:ascii="Calibri" w:cs="Calibri" w:eastAsia="Calibri" w:hAnsi="Calibri"/>
          <w:sz w:val="24"/>
          <w:szCs w:val="24"/>
          <w:rtl w:val="0"/>
        </w:rPr>
        <w:t xml:space="preserve">(also known as program coordinator or treatment court coordinator)</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The individual on the treatment court team responsible for coordinating activities of the team on behalf of the judge, supervising participant engagement, collecting treatment, field support, and probation reports, and providing consolidated reports to the team. The Program Coordinator educates referral sources and the community on eligibility standards and program goals, encourages team members to educate other professionals within their fields and in the community, and develops </w:t>
      </w:r>
      <w:r w:rsidDel="00000000" w:rsidR="00000000" w:rsidRPr="00000000">
        <w:rPr>
          <w:rFonts w:ascii="Calibri" w:cs="Calibri" w:eastAsia="Calibri" w:hAnsi="Calibri"/>
          <w:sz w:val="24"/>
          <w:szCs w:val="24"/>
          <w:rtl w:val="0"/>
        </w:rPr>
        <w:t xml:space="preserve">team-building</w:t>
      </w:r>
      <w:r w:rsidDel="00000000" w:rsidR="00000000" w:rsidRPr="00000000">
        <w:rPr>
          <w:rFonts w:ascii="Calibri" w:cs="Calibri" w:eastAsia="Calibri" w:hAnsi="Calibri"/>
          <w:color w:val="000000"/>
          <w:sz w:val="24"/>
          <w:szCs w:val="24"/>
          <w:rtl w:val="0"/>
        </w:rPr>
        <w:t xml:space="preserve"> activities. The Program Coordinator may also administer brief screening instruments designed to identify participants requiring more in-depth clinical assessments.  The program coordinator may also be responsible for overseeing contractual obligations, ensuring policies and procedures are followed, ensuring accurate and timely collection of data, and facilitating communication between team members and partner agencies. Additionally, this individual will ensure each participant file is complete and includes all admission documents, program acceptance, and enrollment forms (e.g. waivers, contracts, consent forms, and written agreements). The coordinator will schedule orientation / onboarding for new team members and ensure all professional development and continuing education that is completed by team members is documented. The coordinator will be the primary contact for all team members, including the alumni coordinator and veteran mentor coordinator; and will be responsible for ensuring staffing and treatment court sessions are scheduled and provide notification of the calendar to the team. The coordinator will review information from regular DIMS data audits to ensure adequate utilization and accuracy of data, confirm that practices and policies are aligning with the STANDARDS (jail use, terminations, length of time in phase, use of the Officer Safety and Support Application, etc.), and evaluate data for performance measures and other analytics such as racial and ethnic disparity. The Program Coordinator role may be filled by treatment providers, court employees, local/state government staff, or contractors with various job titles such as treatment court coordinator, probation officer, Program Coordinator, case manager, field support officer, etc. and may complete other duties as assigned by the local jurisdiction, but without conflicting with the treatment court responsibilities.</w:t>
      </w:r>
      <w:r w:rsidDel="00000000" w:rsidR="00000000" w:rsidRPr="00000000">
        <w:rPr>
          <w:rtl w:val="0"/>
        </w:rPr>
      </w:r>
    </w:p>
    <w:p w:rsidR="00000000" w:rsidDel="00000000" w:rsidP="00000000" w:rsidRDefault="00000000" w:rsidRPr="00000000" w14:paraId="0000004E">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Support Officer </w:t>
      </w:r>
      <w:r w:rsidDel="00000000" w:rsidR="00000000" w:rsidRPr="00000000">
        <w:rPr>
          <w:rFonts w:ascii="Calibri" w:cs="Calibri" w:eastAsia="Calibri" w:hAnsi="Calibri"/>
          <w:sz w:val="24"/>
          <w:szCs w:val="24"/>
          <w:rtl w:val="0"/>
        </w:rPr>
        <w:t xml:space="preserve">(e.g. supervision officer, compliance officer, or court probation officer)</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Support officers further the accountability of participants by monitoring compliance with the orders of the court and program expectations in a supportive and structured way. They use a skills-based and motivational approach, following the Core Correctional Practices and Motivational Interviewing models. They may be responsible for conducting intakes and administering risk/need tools, performing drug and alcohol testing, conducting home or employment contacts, and monitoring curfew or travel restrictions. Support officers' caseloads will not exceed thirty (30) participants.</w:t>
      </w:r>
    </w:p>
    <w:p w:rsidR="00000000" w:rsidDel="00000000" w:rsidP="00000000" w:rsidRDefault="00000000" w:rsidRPr="00000000" w14:paraId="0000004F">
      <w:pPr>
        <w:numPr>
          <w:ilvl w:val="0"/>
          <w:numId w:val="6"/>
        </w:numPr>
        <w:ind w:left="36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Field Support Officer</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sz w:val="24"/>
          <w:szCs w:val="24"/>
          <w:rtl w:val="0"/>
        </w:rPr>
        <w:t xml:space="preserve">(formerly known as surveillance officer)</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Performs field support in the community and at the participants’ residence and place of employment, as well as case management activities. The field support officer provides responses to participant behavior such as increasing or decreasing probation/field support requirements and increasing or decreasing case management activities (also previously called “monitoring”). Field contact and case management provides key information to the team about participant behavior that allows the team to respond appropriately and also provides support to participants when they are struggling. Field support contacts and case management activities are increased or decreased based on the support needed by the participant. Supervision /support responses are not incentives, sanctions, or clinical treatment. The field support specialist represents the court and extends the benefits of the treatment court program to the doorstep of the participant. </w:t>
      </w:r>
      <w:r w:rsidDel="00000000" w:rsidR="00000000" w:rsidRPr="00000000">
        <w:rPr>
          <w:rtl w:val="0"/>
        </w:rPr>
      </w:r>
    </w:p>
    <w:p w:rsidR="00000000" w:rsidDel="00000000" w:rsidP="00000000" w:rsidRDefault="00000000" w:rsidRPr="00000000" w14:paraId="00000050">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Case Manager: </w:t>
      </w:r>
      <w:r w:rsidDel="00000000" w:rsidR="00000000" w:rsidRPr="00000000">
        <w:rPr>
          <w:rFonts w:ascii="Calibri" w:cs="Calibri" w:eastAsia="Calibri" w:hAnsi="Calibri"/>
          <w:sz w:val="24"/>
          <w:szCs w:val="24"/>
          <w:rtl w:val="0"/>
        </w:rPr>
        <w:t xml:space="preserve">Although the management of participant cases is typically a combined team effort, the case manager is an integral part of the team and the success of the participant. The case manager is responsible for assisting the participant with stabilization and community supports, such as finding safe, stable, and drug-free housing; identifying transportation options; securing public assistance; etc. The case manager may also administer brief screening instruments designed to identify participants requiring more in-depth clinical assessments. The case manager responsibilities may be completed by one or more team members such as the treatment court coordinator, treatment provider, field support/supervision specialist, etc. The case manager works collaboratively with the support officer(s) and treatment provider to develop an integrated case plan, and provides relevant information to the team regarding the status and facilitation of these services. </w:t>
      </w:r>
    </w:p>
    <w:p w:rsidR="00000000" w:rsidDel="00000000" w:rsidP="00000000" w:rsidRDefault="00000000" w:rsidRPr="00000000" w14:paraId="00000051">
      <w:pPr>
        <w:numPr>
          <w:ilvl w:val="0"/>
          <w:numId w:val="6"/>
        </w:numPr>
        <w:ind w:left="360" w:right="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Clinical Case Manager:</w:t>
      </w:r>
      <w:r w:rsidDel="00000000" w:rsidR="00000000" w:rsidRPr="00000000">
        <w:rPr>
          <w:rFonts w:ascii="Calibri" w:cs="Calibri" w:eastAsia="Calibri" w:hAnsi="Calibri"/>
          <w:sz w:val="24"/>
          <w:szCs w:val="24"/>
          <w:rtl w:val="0"/>
        </w:rPr>
        <w:t xml:space="preserve"> The individual on the treatment court team responsible for administering a validated assessment instrument to determine whether participants require complementary treatment or social services, providing or referring participants for indicated services, and keeping the treatment court team apprised of participants’ progress. Participants meet with the clinical case manager or treatment provider weekly during the first phase.</w:t>
      </w:r>
    </w:p>
    <w:p w:rsidR="00000000" w:rsidDel="00000000" w:rsidP="00000000" w:rsidRDefault="00000000" w:rsidRPr="00000000" w14:paraId="00000052">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Treatment Provider / Representative:</w:t>
      </w:r>
      <w:r w:rsidDel="00000000" w:rsidR="00000000" w:rsidRPr="00000000">
        <w:rPr>
          <w:rFonts w:ascii="Calibri" w:cs="Calibri" w:eastAsia="Calibri" w:hAnsi="Calibri"/>
          <w:sz w:val="24"/>
          <w:szCs w:val="24"/>
          <w:rtl w:val="0"/>
        </w:rPr>
        <w:t xml:space="preserve"> This role may be filled by an addiction counselor, psychologist, or clinical case manager licensed to provide treatment for substance use disorders and other services such as mental health counseling or vocational rehabilitation. The treatment representative typically facilitates and/or reports on treatment groups and individual treatment services, provides relapse prevention and continuing care to participants, and may serve as the clinical case manager. The treatment representative will provide clinical knowledge and expertise to the team and during staffing. The treatment provider/representative ensures that referrals are evaluated in a timely and competent process and that placement and transportation are effectuated in an expedited manner. This position ensures the participant receives the highest level of care available, at a reasonable cost, by all contracted and ancillary service providers. </w:t>
      </w:r>
    </w:p>
    <w:p w:rsidR="00000000" w:rsidDel="00000000" w:rsidP="00000000" w:rsidRDefault="00000000" w:rsidRPr="00000000" w14:paraId="00000053">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Defense Attorney:</w:t>
      </w:r>
      <w:r w:rsidDel="00000000" w:rsidR="00000000" w:rsidRPr="00000000">
        <w:rPr>
          <w:rFonts w:ascii="Calibri" w:cs="Calibri" w:eastAsia="Calibri" w:hAnsi="Calibri"/>
          <w:sz w:val="24"/>
          <w:szCs w:val="24"/>
          <w:rtl w:val="0"/>
        </w:rPr>
        <w:t xml:space="preserve"> The defense counsel participates fully as a member of the team in a non-adversarial manner, committing to the program goals. The defense attorney reviews the arrest, warrant, affidavits, charging document, and other relevant information and reviews all program documents (e.g. waivers, written agreements, etc.). They ensure that all participants are informed of their rights, potential consequences they may face throughout the program, legal options, treatment options, program conditions, and sentencing outcomes while developing a relationship with the offender that promotes the offender’s long-term best interest. Although a dedicated team member, the defense counsel’s primary obligation is to represent and advocate for individual clients, protect their constitutional rights, and represent them zealously and individually, not collectively on behalf of a program. They will provide the participant and court with input on alternative courses of action, including legal and treatment alternatives available outside the program. The defense attorney will advise participants as to the nature and purpose of the treatment court, the rules governing participation, the consequences of abiding or failing to abide by the rules, and how participating or not participating in the program will affect his or her interest, as well as the long-term benefits of recovery. They will also explain to the participants their rights that will temporarily or permanently be relinquished, that criminal prosecution for admitting to substance or alcohol use in open court will not be invoked, and encourage participants to be honest with the team. The defense attorney represents the treatment court program to other attorneys. </w:t>
      </w:r>
    </w:p>
    <w:p w:rsidR="00000000" w:rsidDel="00000000" w:rsidP="00000000" w:rsidRDefault="00000000" w:rsidRPr="00000000" w14:paraId="00000054">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Prosecutor:</w:t>
      </w:r>
      <w:r w:rsidDel="00000000" w:rsidR="00000000" w:rsidRPr="00000000">
        <w:rPr>
          <w:rFonts w:ascii="Calibri" w:cs="Calibri" w:eastAsia="Calibri" w:hAnsi="Calibri"/>
          <w:sz w:val="24"/>
          <w:szCs w:val="24"/>
          <w:rtl w:val="0"/>
        </w:rPr>
        <w:t xml:space="preserve"> The prosecuting attorney advocates on behalf of public safety and victim interests, and holds participants accountable for meeting their obligations in the program. They will review the case to determine if an individual is eligible for the program and file all necessary legal documents. The prosecutor agrees that a positive drug/alcohol test or “admission” of drug possession or use will not result in filing additional charges. They will assist the team in making decisions regarding behavior responses and participants' continued enrollment in the program, based on treatment participation and progress, rather than on legal aspects of the case, barring additional criminal behavior. The prosecutor represents the treatment court program to other attorneys. </w:t>
      </w:r>
    </w:p>
    <w:p w:rsidR="00000000" w:rsidDel="00000000" w:rsidP="00000000" w:rsidRDefault="00000000" w:rsidRPr="00000000" w14:paraId="00000055">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Law Enforcement Officer: </w:t>
      </w:r>
      <w:r w:rsidDel="00000000" w:rsidR="00000000" w:rsidRPr="00000000">
        <w:rPr>
          <w:rFonts w:ascii="Calibri" w:cs="Calibri" w:eastAsia="Calibri" w:hAnsi="Calibri"/>
          <w:sz w:val="24"/>
          <w:szCs w:val="24"/>
          <w:rtl w:val="0"/>
        </w:rPr>
        <w:t xml:space="preserve">The law enforcement officer engages with the treatment court as a means of effective community policing that is shaped by principles of prevention, meaningful intervention, empowerment, collaboration, and cooperative problem-solving. The law enforcement officer provides pertinent participant information from law enforcement sources to the team, including any negative law enforcement contact.  The officer also makes recommendations to the team, assists in the identification of potential drug court participants, facilitates the swift delivery of bench warrants for participants who have absconded from the program, and acts as a liaison to police agencies, providing education, information and training on the importance of the drug court program to community safety and the benefits of law enforcement in collaborating with the treatment court. The law enforcement officer may work closely with support officers to facilitate community contacts and otherwise provides assistance, information and support to participants in the community encouraging them to succeed in the program. </w:t>
      </w:r>
    </w:p>
    <w:p w:rsidR="00000000" w:rsidDel="00000000" w:rsidP="00000000" w:rsidRDefault="00000000" w:rsidRPr="00000000" w14:paraId="00000056">
      <w:pPr>
        <w:numPr>
          <w:ilvl w:val="0"/>
          <w:numId w:val="6"/>
        </w:numPr>
        <w:ind w:left="360" w:hanging="36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[If Applicable] </w:t>
      </w:r>
      <w:r w:rsidDel="00000000" w:rsidR="00000000" w:rsidRPr="00000000">
        <w:rPr>
          <w:rFonts w:ascii="Calibri" w:cs="Calibri" w:eastAsia="Calibri" w:hAnsi="Calibri"/>
          <w:i w:val="1"/>
          <w:sz w:val="24"/>
          <w:szCs w:val="24"/>
          <w:rtl w:val="0"/>
        </w:rPr>
        <w:t xml:space="preserve">Tribal Liaison:</w:t>
      </w:r>
      <w:r w:rsidDel="00000000" w:rsidR="00000000" w:rsidRPr="00000000">
        <w:rPr>
          <w:rFonts w:ascii="Calibri" w:cs="Calibri" w:eastAsia="Calibri" w:hAnsi="Calibri"/>
          <w:sz w:val="24"/>
          <w:szCs w:val="24"/>
          <w:rtl w:val="0"/>
        </w:rPr>
        <w:t xml:space="preserve"> The Tribal Liaison works with the treatment court to establish and maintain effective relations and communication between the treatment court team and the tribal government they represent. They will work with the team to promote greater awareness and mutual understanding of Native American culture, life, healing practices, and concerns that affect the Native American population being served in the treatment court.  The Liaison will advocate to improve physical and behavioral health services for Native American participants of the treatment court. As tribal governmental leaders, they will advocate on behalf of the participants by communicating with stakeholders and leaders in the surrounding communities to find resources that will aid and benefit treatment court participants. Liaisons will provide recommendations and assist with resolutions to issues and concerns related to the delivery of treatment court services, such as improved access to integrated coordinated care, development and implementation of new initiatives, along with fostering inter-agency collaboration with tribal entities. They will meet regularly with the treatment court team and provide feedback and information to tribal governments and discuss relevant issues and concerns that impact the Native American population with regard to the treatment court program initiatives and participant needs.  Tribal Liaisons will attend training relevant to the treatment court and provide information on opportunities to treatment court team members on cultural sensitivity, cultural practices in healing and information on crisis services, suicide prevention, drug prevention, and health education for Native American tribes in the surrounding area.</w:t>
      </w:r>
      <w:r w:rsidDel="00000000" w:rsidR="00000000" w:rsidRPr="00000000">
        <w:rPr>
          <w:rtl w:val="0"/>
        </w:rPr>
      </w:r>
    </w:p>
    <w:p w:rsidR="00000000" w:rsidDel="00000000" w:rsidP="00000000" w:rsidRDefault="00000000" w:rsidRPr="00000000" w14:paraId="00000057">
      <w:pPr>
        <w:numPr>
          <w:ilvl w:val="0"/>
          <w:numId w:val="6"/>
        </w:numPr>
        <w:ind w:left="360" w:hanging="36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[If Applicable] </w:t>
      </w:r>
      <w:r w:rsidDel="00000000" w:rsidR="00000000" w:rsidRPr="00000000">
        <w:rPr>
          <w:rFonts w:ascii="Calibri" w:cs="Calibri" w:eastAsia="Calibri" w:hAnsi="Calibri"/>
          <w:i w:val="1"/>
          <w:sz w:val="24"/>
          <w:szCs w:val="24"/>
          <w:rtl w:val="0"/>
        </w:rPr>
        <w:t xml:space="preserve">Mentor Coordinator:</w:t>
      </w:r>
      <w:r w:rsidDel="00000000" w:rsidR="00000000" w:rsidRPr="00000000">
        <w:rPr>
          <w:rFonts w:ascii="Calibri" w:cs="Calibri" w:eastAsia="Calibri" w:hAnsi="Calibri"/>
          <w:sz w:val="24"/>
          <w:szCs w:val="24"/>
          <w:rtl w:val="0"/>
        </w:rPr>
        <w:t xml:space="preserve"> Ensures the efficient and successful operation of the mentor program in the Veterans Treatment Court (VTC). Mentor Coordinators recruit, screen, train and manage volunteer mentors and are familiar with the structure and operation of the VTC. </w:t>
      </w:r>
      <w:r w:rsidDel="00000000" w:rsidR="00000000" w:rsidRPr="00000000">
        <w:rPr>
          <w:rtl w:val="0"/>
        </w:rPr>
      </w:r>
    </w:p>
    <w:p w:rsidR="00000000" w:rsidDel="00000000" w:rsidP="00000000" w:rsidRDefault="00000000" w:rsidRPr="00000000" w14:paraId="00000058">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Applicable] </w:t>
      </w:r>
      <w:r w:rsidDel="00000000" w:rsidR="00000000" w:rsidRPr="00000000">
        <w:rPr>
          <w:rFonts w:ascii="Calibri" w:cs="Calibri" w:eastAsia="Calibri" w:hAnsi="Calibri"/>
          <w:i w:val="1"/>
          <w:sz w:val="24"/>
          <w:szCs w:val="24"/>
          <w:rtl w:val="0"/>
        </w:rPr>
        <w:t xml:space="preserve">Veterans Justice Outreach Specialist (VJO): </w:t>
      </w:r>
      <w:r w:rsidDel="00000000" w:rsidR="00000000" w:rsidRPr="00000000">
        <w:rPr>
          <w:rFonts w:ascii="Calibri" w:cs="Calibri" w:eastAsia="Calibri" w:hAnsi="Calibri"/>
          <w:sz w:val="24"/>
          <w:szCs w:val="24"/>
          <w:rtl w:val="0"/>
        </w:rPr>
        <w:t xml:space="preserve">The VJO serves as a liaison to the VA Medical Center and facilities. Connects participants to VA services, coordinates reporting from the VA, checks and assists with eligibility for services, provides case management for VA eligible participants, provides the VTC with treatment updates, serves as a resource for team members, helps the VTC identify veterans and is available for input and assessment information of participants. </w:t>
      </w:r>
    </w:p>
    <w:p w:rsidR="00000000" w:rsidDel="00000000" w:rsidP="00000000" w:rsidRDefault="00000000" w:rsidRPr="00000000" w14:paraId="00000059">
      <w:pPr>
        <w:numPr>
          <w:ilvl w:val="0"/>
          <w:numId w:val="6"/>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Applicable] </w:t>
      </w:r>
      <w:r w:rsidDel="00000000" w:rsidR="00000000" w:rsidRPr="00000000">
        <w:rPr>
          <w:rFonts w:ascii="Calibri" w:cs="Calibri" w:eastAsia="Calibri" w:hAnsi="Calibri"/>
          <w:i w:val="1"/>
          <w:sz w:val="24"/>
          <w:szCs w:val="24"/>
          <w:rtl w:val="0"/>
        </w:rPr>
        <w:t xml:space="preserve">School Liaison / School Resource Officer:</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sz w:val="24"/>
          <w:szCs w:val="24"/>
          <w:rtl w:val="0"/>
        </w:rPr>
        <w:t xml:space="preserve">School representatives may include teachers, principals, superintendents, and other education administrators. The school representative may be a full-time JDC team member and attend all juvenile drug court pre-court staffings and court hearings or serve on a part-time basis and attend as needed. In some jurisdictions, they act merely as a liaison to the schools and submit data and reports to the team. The primary responsibilities of the school representative are to ensure that the team is informed of any concerns on the part of the schools, help the team understand school environments and terms, and connect the team to any potential school-based resources. The school representative should engage fully in the collaborative team process and be willing to compromise with team members while ensuring that school safety concerns and the education needs of the youth are addressed. </w:t>
      </w:r>
      <w:r w:rsidDel="00000000" w:rsidR="00000000" w:rsidRPr="00000000">
        <w:rPr>
          <w:rFonts w:ascii="Calibri" w:cs="Calibri" w:eastAsia="Calibri" w:hAnsi="Calibri"/>
          <w:i w:val="1"/>
          <w:sz w:val="24"/>
          <w:szCs w:val="24"/>
          <w:rtl w:val="0"/>
        </w:rPr>
        <w:t xml:space="preserve">ncjfcj.org  </w:t>
      </w:r>
      <w:r w:rsidDel="00000000" w:rsidR="00000000" w:rsidRPr="00000000">
        <w:rPr>
          <w:rtl w:val="0"/>
        </w:rPr>
      </w:r>
    </w:p>
    <w:p w:rsidR="00000000" w:rsidDel="00000000" w:rsidP="00000000" w:rsidRDefault="00000000" w:rsidRPr="00000000" w14:paraId="0000005A">
      <w:pPr>
        <w:numPr>
          <w:ilvl w:val="0"/>
          <w:numId w:val="6"/>
        </w:numPr>
        <w:spacing w:after="30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Applicable] </w:t>
      </w:r>
      <w:r w:rsidDel="00000000" w:rsidR="00000000" w:rsidRPr="00000000">
        <w:rPr>
          <w:rFonts w:ascii="Calibri" w:cs="Calibri" w:eastAsia="Calibri" w:hAnsi="Calibri"/>
          <w:i w:val="1"/>
          <w:sz w:val="24"/>
          <w:szCs w:val="24"/>
          <w:rtl w:val="0"/>
        </w:rPr>
        <w:t xml:space="preserve">Program Director:</w:t>
      </w:r>
      <w:r w:rsidDel="00000000" w:rsidR="00000000" w:rsidRPr="00000000">
        <w:rPr>
          <w:rFonts w:ascii="Calibri" w:cs="Calibri" w:eastAsia="Calibri" w:hAnsi="Calibri"/>
          <w:sz w:val="24"/>
          <w:szCs w:val="24"/>
          <w:rtl w:val="0"/>
        </w:rPr>
        <w:t xml:space="preserve"> Although the specific responsibilities of the program director may vary by jurisdiction, this individual coordinates the operations of multiple treatment court programs within a single judicial district, overseeing the individual program managers and processes, to ensure evidence-based practices are employed. The program director supports program judges and respects the roles and responsibilities of all team members while collaborating for administrative and fiscal efficiency. The program director works with the program coordinators/managers to ensure operations align with the </w:t>
      </w:r>
      <w:r w:rsidDel="00000000" w:rsidR="00000000" w:rsidRPr="00000000">
        <w:rPr>
          <w:rFonts w:ascii="Calibri" w:cs="Calibri" w:eastAsia="Calibri" w:hAnsi="Calibri"/>
          <w:i w:val="1"/>
          <w:sz w:val="24"/>
          <w:szCs w:val="24"/>
          <w:rtl w:val="0"/>
        </w:rPr>
        <w:t xml:space="preserve">NM Treatment Court Standards</w:t>
      </w:r>
      <w:r w:rsidDel="00000000" w:rsidR="00000000" w:rsidRPr="00000000">
        <w:rPr>
          <w:rFonts w:ascii="Calibri" w:cs="Calibri" w:eastAsia="Calibri" w:hAnsi="Calibri"/>
          <w:sz w:val="24"/>
          <w:szCs w:val="24"/>
          <w:rtl w:val="0"/>
        </w:rPr>
        <w:t xml:space="preserve">.</w:t>
      </w:r>
    </w:p>
    <w:sectPr>
      <w:footerReference r:id="rId7" w:type="default"/>
      <w:pgSz w:h="15840" w:w="12240" w:orient="portrait"/>
      <w:pgMar w:bottom="1008" w:top="81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Calibri" w:cs="Calibri" w:eastAsia="Calibri" w:hAnsi="Calibri"/>
        <w:color w:val="000000"/>
      </w:rPr>
    </w:pPr>
    <w:r w:rsidDel="00000000" w:rsidR="00000000" w:rsidRPr="00000000">
      <w:rPr>
        <w:rFonts w:ascii="Times New Roman" w:cs="Times New Roman" w:eastAsia="Times New Roman" w:hAnsi="Times New Roman"/>
        <w:i w:val="1"/>
        <w:sz w:val="20"/>
        <w:szCs w:val="20"/>
        <w:rtl w:val="0"/>
      </w:rPr>
      <w:t xml:space="preserve">NM Treatment Court Agency MOU (Approved for use by AOC/TJSP  on 9/9/24)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rFonts w:ascii="Arial" w:cs="Arial" w:eastAsia="Arial" w:hAnsi="Arial"/>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upperLetter"/>
      <w:lvlText w:val="%1."/>
      <w:lvlJc w:val="left"/>
      <w:pPr>
        <w:ind w:left="360" w:hanging="360"/>
      </w:pPr>
      <w:rPr>
        <w:rFonts w:ascii="Arial" w:cs="Arial" w:eastAsia="Arial" w:hAnsi="Arial"/>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lvl w:ilvl="0">
      <w:start w:val="1"/>
      <w:numFmt w:val="decimal"/>
      <w:lvlText w:val="%1."/>
      <w:lvlJc w:val="left"/>
      <w:pPr>
        <w:ind w:left="1440" w:hanging="360"/>
      </w:pPr>
      <w:rPr>
        <w:rFonts w:ascii="Arial" w:cs="Arial" w:eastAsia="Arial" w:hAnsi="Arial"/>
        <w:b w:val="0"/>
        <w:u w:val="none"/>
      </w:rPr>
    </w:lvl>
    <w:lvl w:ilvl="1">
      <w:start w:val="1"/>
      <w:numFmt w:val="lowerLetter"/>
      <w:lvlText w:val="%2."/>
      <w:lvlJc w:val="left"/>
      <w:pPr>
        <w:ind w:left="2160" w:hanging="360"/>
      </w:pPr>
      <w:rPr>
        <w:rFonts w:ascii="Arial" w:cs="Arial" w:eastAsia="Arial" w:hAnsi="Arial"/>
        <w:b w:val="1"/>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rFonts w:ascii="Arial" w:cs="Arial" w:eastAsia="Arial" w:hAnsi="Arial"/>
        <w:b w:val="0"/>
        <w:u w:val="none"/>
      </w:rPr>
    </w:lvl>
    <w:lvl w:ilvl="1">
      <w:start w:val="1"/>
      <w:numFmt w:val="lowerLetter"/>
      <w:lvlText w:val="%2."/>
      <w:lvlJc w:val="left"/>
      <w:pPr>
        <w:ind w:left="2160" w:hanging="360"/>
      </w:pPr>
      <w:rPr>
        <w:rFonts w:ascii="Arial" w:cs="Arial" w:eastAsia="Arial" w:hAnsi="Arial"/>
        <w:b w:val="1"/>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D80B9A"/>
    <w:pPr>
      <w:tabs>
        <w:tab w:val="center" w:pos="4680"/>
        <w:tab w:val="right" w:pos="9360"/>
      </w:tabs>
      <w:spacing w:line="240" w:lineRule="auto"/>
    </w:pPr>
  </w:style>
  <w:style w:type="character" w:styleId="HeaderChar" w:customStyle="1">
    <w:name w:val="Header Char"/>
    <w:basedOn w:val="DefaultParagraphFont"/>
    <w:link w:val="Header"/>
    <w:uiPriority w:val="99"/>
    <w:rsid w:val="00D80B9A"/>
  </w:style>
  <w:style w:type="paragraph" w:styleId="Footer">
    <w:name w:val="footer"/>
    <w:basedOn w:val="Normal"/>
    <w:link w:val="FooterChar"/>
    <w:uiPriority w:val="99"/>
    <w:unhideWhenUsed w:val="1"/>
    <w:rsid w:val="00D80B9A"/>
    <w:pPr>
      <w:tabs>
        <w:tab w:val="center" w:pos="4680"/>
        <w:tab w:val="right" w:pos="9360"/>
      </w:tabs>
      <w:spacing w:line="240" w:lineRule="auto"/>
    </w:pPr>
  </w:style>
  <w:style w:type="character" w:styleId="FooterChar" w:customStyle="1">
    <w:name w:val="Footer Char"/>
    <w:basedOn w:val="DefaultParagraphFont"/>
    <w:link w:val="Footer"/>
    <w:uiPriority w:val="99"/>
    <w:rsid w:val="00D80B9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YGOLtWBoA6J8GTPSS5U/ns9ow==">CgMxLjAyCWguMzBqMHpsbDIIaC5namRneHM4AHIhMS1uaU5iUnU1ekNva3JxOVNBRUdNQUl3Sk0wbi04dm1W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2024-09-13T15:40:00Z</dcterms:created>
  <dc:creator>Robert V. Mitchell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43eedebdd6ffcc581e617556b9d337b95a4758111b3f9748a25c6c0bc937e4b2</vt:lpwstr>
  </property>
</Properties>
</file>